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A45E83" w:rsidRPr="007326BD" w:rsidTr="00A45E83">
        <w:tc>
          <w:tcPr>
            <w:tcW w:w="8978" w:type="dxa"/>
          </w:tcPr>
          <w:p w:rsidR="00D27CAF" w:rsidRDefault="00A25964" w:rsidP="00D64D9B">
            <w:pPr>
              <w:spacing w:after="0" w:line="240" w:lineRule="auto"/>
              <w:jc w:val="center"/>
              <w:rPr>
                <w:rFonts w:ascii="Arial" w:hAnsi="Arial" w:cs="Arial"/>
                <w:b/>
                <w:sz w:val="24"/>
                <w:szCs w:val="28"/>
              </w:rPr>
            </w:pPr>
            <w:bookmarkStart w:id="0" w:name="ente"/>
            <w:bookmarkStart w:id="1" w:name="_GoBack"/>
            <w:bookmarkEnd w:id="0"/>
            <w:bookmarkEnd w:id="1"/>
            <w:r>
              <w:rPr>
                <w:rFonts w:ascii="Arial" w:hAnsi="Arial" w:cs="Arial"/>
                <w:b/>
                <w:sz w:val="24"/>
                <w:szCs w:val="28"/>
              </w:rPr>
              <w:t>CUENTA PÚBLICA - MUNICIPIO SANTA MARÍA DEL ORO</w:t>
            </w:r>
          </w:p>
          <w:p w:rsidR="00A45E83" w:rsidRPr="005D285A" w:rsidRDefault="00CC558D" w:rsidP="005D285A">
            <w:pPr>
              <w:spacing w:after="0" w:line="240" w:lineRule="auto"/>
              <w:jc w:val="center"/>
              <w:rPr>
                <w:rFonts w:ascii="Arial" w:hAnsi="Arial" w:cs="Arial"/>
                <w:b/>
                <w:sz w:val="24"/>
                <w:szCs w:val="28"/>
              </w:rPr>
            </w:pPr>
            <w:r w:rsidRPr="00CC558D">
              <w:rPr>
                <w:rFonts w:ascii="Arial" w:hAnsi="Arial" w:cs="Arial"/>
                <w:b/>
                <w:sz w:val="24"/>
                <w:szCs w:val="28"/>
              </w:rPr>
              <w:t>IN</w:t>
            </w:r>
            <w:r>
              <w:rPr>
                <w:rFonts w:ascii="Arial" w:hAnsi="Arial" w:cs="Arial"/>
                <w:b/>
                <w:sz w:val="24"/>
                <w:szCs w:val="28"/>
              </w:rPr>
              <w:t xml:space="preserve">FORME ANUAL DE DESEMPEÑO EN LA </w:t>
            </w:r>
            <w:r w:rsidRPr="00CC558D">
              <w:rPr>
                <w:rFonts w:ascii="Arial" w:hAnsi="Arial" w:cs="Arial"/>
                <w:b/>
                <w:sz w:val="24"/>
                <w:szCs w:val="28"/>
              </w:rPr>
              <w:t>GESTIÓN</w:t>
            </w:r>
          </w:p>
          <w:p w:rsidR="00A45E83" w:rsidRPr="007D77B1" w:rsidRDefault="00A25964" w:rsidP="00A45E83">
            <w:pPr>
              <w:spacing w:after="0" w:line="240" w:lineRule="auto"/>
              <w:jc w:val="center"/>
              <w:rPr>
                <w:rFonts w:ascii="Arial" w:hAnsi="Arial" w:cs="Arial"/>
                <w:b/>
                <w:sz w:val="24"/>
                <w:szCs w:val="24"/>
              </w:rPr>
            </w:pPr>
            <w:bookmarkStart w:id="2" w:name="periodo"/>
            <w:bookmarkEnd w:id="2"/>
            <w:r>
              <w:rPr>
                <w:rFonts w:ascii="Arial" w:hAnsi="Arial" w:cs="Arial"/>
                <w:b/>
                <w:sz w:val="24"/>
                <w:szCs w:val="24"/>
              </w:rPr>
              <w:t>DEL 1° DE ENERO AL 31 DE DICIEMBRE DE 2024</w:t>
            </w:r>
          </w:p>
        </w:tc>
      </w:tr>
    </w:tbl>
    <w:p w:rsidR="00806603" w:rsidRPr="007326BD" w:rsidRDefault="00806603" w:rsidP="00A45E83">
      <w:pPr>
        <w:spacing w:after="120" w:line="240" w:lineRule="auto"/>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A45E83" w:rsidRPr="007326BD" w:rsidTr="00A45E83">
        <w:tc>
          <w:tcPr>
            <w:tcW w:w="8978" w:type="dxa"/>
          </w:tcPr>
          <w:p w:rsidR="00A25964" w:rsidRDefault="00A25964" w:rsidP="00A25964">
            <w:bookmarkStart w:id="3" w:name="cuerpo"/>
            <w:bookmarkEnd w:id="3"/>
          </w:p>
          <w:p w:rsidR="00A25964" w:rsidRDefault="00A25964" w:rsidP="00A25964">
            <w:r>
              <w:br w:type="page"/>
            </w:r>
          </w:p>
          <w:p w:rsidR="00A25964" w:rsidRDefault="00A25964" w:rsidP="00A25964">
            <w:pPr>
              <w:spacing w:after="120"/>
              <w:rPr>
                <w:sz w:val="28"/>
                <w:szCs w:val="28"/>
              </w:rPr>
            </w:pPr>
          </w:p>
          <w:p w:rsidR="00A25964" w:rsidRDefault="00A25964" w:rsidP="00A25964">
            <w:pPr>
              <w:pStyle w:val="Ttulo1"/>
              <w:keepNext/>
              <w:keepLines/>
              <w:spacing w:before="240" w:line="276" w:lineRule="auto"/>
              <w:rPr>
                <w:rFonts w:ascii="Calibri Light" w:hAnsi="Calibri Light" w:cs="Calibri Light"/>
                <w:color w:val="2E74B5"/>
                <w:sz w:val="32"/>
                <w:szCs w:val="32"/>
              </w:rPr>
            </w:pPr>
            <w:r>
              <w:rPr>
                <w:rFonts w:ascii="Calibri Light" w:hAnsi="Calibri Light" w:cs="Calibri Light"/>
                <w:color w:val="2E74B5"/>
                <w:sz w:val="32"/>
                <w:szCs w:val="32"/>
              </w:rPr>
              <w:t>INTRODUCCIÓN</w:t>
            </w:r>
          </w:p>
          <w:p w:rsidR="00A25964" w:rsidRDefault="00A25964" w:rsidP="00A25964">
            <w:pPr>
              <w:pBdr>
                <w:top w:val="single" w:sz="4" w:space="1" w:color="auto"/>
                <w:left w:val="single" w:sz="4" w:space="4" w:color="auto"/>
                <w:bottom w:val="single" w:sz="4" w:space="1" w:color="auto"/>
                <w:right w:val="single" w:sz="4" w:space="4" w:color="auto"/>
              </w:pBdr>
              <w:spacing w:after="120"/>
              <w:rPr>
                <w:rFonts w:cs="Calibri"/>
                <w:sz w:val="28"/>
                <w:szCs w:val="28"/>
              </w:rPr>
            </w:pPr>
            <w:r>
              <w:rPr>
                <w:rFonts w:cs="Calibri"/>
                <w:sz w:val="28"/>
                <w:szCs w:val="28"/>
              </w:rPr>
              <w:t>Antes de la conquista, esta región estuvo habitada por indígenas purépechas o tarascos, que posteriormente fueron derrotados en la Guerra del Salitre en 1510. Los primeros pobladores ya explotaban el oro y la plata según claras muestras dejadas en yácatas y ruinas ubicadas en el rancho Las Minas a 6 kilómetros al oriente de la cabecera municipal.</w:t>
            </w:r>
          </w:p>
          <w:p w:rsidR="00A25964" w:rsidRDefault="00A25964" w:rsidP="00A25964">
            <w:pPr>
              <w:pBdr>
                <w:top w:val="single" w:sz="4" w:space="1" w:color="auto"/>
                <w:left w:val="single" w:sz="4" w:space="4" w:color="auto"/>
                <w:bottom w:val="single" w:sz="4" w:space="1" w:color="auto"/>
                <w:right w:val="single" w:sz="4" w:space="4" w:color="auto"/>
              </w:pBdr>
              <w:spacing w:after="120"/>
              <w:rPr>
                <w:rFonts w:cs="Calibri"/>
                <w:sz w:val="28"/>
                <w:szCs w:val="28"/>
              </w:rPr>
            </w:pPr>
          </w:p>
          <w:p w:rsidR="00A25964" w:rsidRDefault="00A25964" w:rsidP="00A25964">
            <w:pPr>
              <w:pBdr>
                <w:top w:val="single" w:sz="4" w:space="1" w:color="auto"/>
                <w:left w:val="single" w:sz="4" w:space="4" w:color="auto"/>
                <w:bottom w:val="single" w:sz="4" w:space="1" w:color="auto"/>
                <w:right w:val="single" w:sz="4" w:space="4" w:color="auto"/>
              </w:pBdr>
              <w:spacing w:after="120"/>
              <w:rPr>
                <w:rFonts w:cs="Calibri"/>
                <w:sz w:val="28"/>
                <w:szCs w:val="28"/>
              </w:rPr>
            </w:pPr>
            <w:r>
              <w:rPr>
                <w:rFonts w:cs="Calibri"/>
                <w:sz w:val="28"/>
                <w:szCs w:val="28"/>
              </w:rPr>
              <w:t>En 1523, Alonso de Ávalos conquistó esta región.</w:t>
            </w:r>
          </w:p>
          <w:p w:rsidR="00A25964" w:rsidRDefault="00A25964" w:rsidP="00A25964">
            <w:pPr>
              <w:pBdr>
                <w:top w:val="single" w:sz="4" w:space="1" w:color="auto"/>
                <w:left w:val="single" w:sz="4" w:space="4" w:color="auto"/>
                <w:bottom w:val="single" w:sz="4" w:space="1" w:color="auto"/>
                <w:right w:val="single" w:sz="4" w:space="4" w:color="auto"/>
              </w:pBdr>
              <w:spacing w:after="120"/>
              <w:rPr>
                <w:rFonts w:cs="Calibri"/>
                <w:sz w:val="28"/>
                <w:szCs w:val="28"/>
              </w:rPr>
            </w:pPr>
          </w:p>
          <w:p w:rsidR="00A25964" w:rsidRDefault="00A25964" w:rsidP="00A25964">
            <w:pPr>
              <w:pBdr>
                <w:top w:val="single" w:sz="4" w:space="1" w:color="auto"/>
                <w:left w:val="single" w:sz="4" w:space="4" w:color="auto"/>
                <w:bottom w:val="single" w:sz="4" w:space="1" w:color="auto"/>
                <w:right w:val="single" w:sz="4" w:space="4" w:color="auto"/>
              </w:pBdr>
              <w:spacing w:after="120"/>
              <w:rPr>
                <w:rFonts w:cs="Calibri"/>
                <w:sz w:val="28"/>
                <w:szCs w:val="28"/>
              </w:rPr>
            </w:pPr>
            <w:r>
              <w:rPr>
                <w:rFonts w:cs="Calibri"/>
                <w:sz w:val="28"/>
                <w:szCs w:val="28"/>
              </w:rPr>
              <w:t>En sus orígenes el poblado pasó a ser un rancho denominado La Teja, que pertenecía a Ramón Ochoa, originario de Quitupan.</w:t>
            </w:r>
          </w:p>
          <w:p w:rsidR="00A25964" w:rsidRDefault="00A25964" w:rsidP="00A25964">
            <w:pPr>
              <w:pBdr>
                <w:top w:val="single" w:sz="4" w:space="1" w:color="auto"/>
                <w:left w:val="single" w:sz="4" w:space="4" w:color="auto"/>
                <w:bottom w:val="single" w:sz="4" w:space="1" w:color="auto"/>
                <w:right w:val="single" w:sz="4" w:space="4" w:color="auto"/>
              </w:pBdr>
              <w:spacing w:after="120"/>
              <w:rPr>
                <w:rFonts w:cs="Calibri"/>
                <w:sz w:val="28"/>
                <w:szCs w:val="28"/>
              </w:rPr>
            </w:pPr>
          </w:p>
          <w:p w:rsidR="00A25964" w:rsidRDefault="00A25964" w:rsidP="00A25964">
            <w:pPr>
              <w:pBdr>
                <w:top w:val="single" w:sz="4" w:space="1" w:color="auto"/>
                <w:left w:val="single" w:sz="4" w:space="4" w:color="auto"/>
                <w:bottom w:val="single" w:sz="4" w:space="1" w:color="auto"/>
                <w:right w:val="single" w:sz="4" w:space="4" w:color="auto"/>
              </w:pBdr>
              <w:spacing w:after="120"/>
              <w:rPr>
                <w:rFonts w:cs="Calibri"/>
                <w:sz w:val="28"/>
                <w:szCs w:val="28"/>
              </w:rPr>
            </w:pPr>
            <w:r>
              <w:rPr>
                <w:rFonts w:cs="Calibri"/>
                <w:sz w:val="28"/>
                <w:szCs w:val="28"/>
              </w:rPr>
              <w:t>La actividad minera alcanzó su esplendor a partir de la segunda mitad del siglo XVIII llamándose el lugar como “Real Hacienda de Beneficio del Río del Oro”.</w:t>
            </w:r>
          </w:p>
          <w:p w:rsidR="00A25964" w:rsidRDefault="00A25964" w:rsidP="00A25964">
            <w:pPr>
              <w:pBdr>
                <w:top w:val="single" w:sz="4" w:space="1" w:color="auto"/>
                <w:left w:val="single" w:sz="4" w:space="4" w:color="auto"/>
                <w:bottom w:val="single" w:sz="4" w:space="1" w:color="auto"/>
                <w:right w:val="single" w:sz="4" w:space="4" w:color="auto"/>
              </w:pBdr>
              <w:spacing w:after="120"/>
              <w:rPr>
                <w:rFonts w:cs="Calibri"/>
                <w:sz w:val="28"/>
                <w:szCs w:val="28"/>
              </w:rPr>
            </w:pPr>
          </w:p>
          <w:p w:rsidR="00A25964" w:rsidRDefault="00A25964" w:rsidP="00A25964">
            <w:pPr>
              <w:pBdr>
                <w:top w:val="single" w:sz="4" w:space="1" w:color="auto"/>
                <w:left w:val="single" w:sz="4" w:space="4" w:color="auto"/>
                <w:bottom w:val="single" w:sz="4" w:space="1" w:color="auto"/>
                <w:right w:val="single" w:sz="4" w:space="4" w:color="auto"/>
              </w:pBdr>
              <w:spacing w:after="120"/>
              <w:rPr>
                <w:rFonts w:cs="Calibri"/>
                <w:sz w:val="28"/>
                <w:szCs w:val="28"/>
              </w:rPr>
            </w:pPr>
            <w:r>
              <w:rPr>
                <w:rFonts w:cs="Calibri"/>
                <w:sz w:val="28"/>
                <w:szCs w:val="28"/>
              </w:rPr>
              <w:t>A principios del siglo XIX, estuvo en febril actividad al norte de la población el ingenio azucarero La Jarana donde se elaboraba azúcar, panocha, alcohol, y que dejó de funcionar durante la Guerra de Independencia. Tanto el anterior ingenio como el centro minero Real del Oro pertenecían a unos españoles que radicaban en Cotija, Mich.</w:t>
            </w:r>
          </w:p>
          <w:p w:rsidR="00A25964" w:rsidRDefault="00A25964" w:rsidP="00A25964">
            <w:pPr>
              <w:pBdr>
                <w:top w:val="single" w:sz="4" w:space="1" w:color="auto"/>
                <w:left w:val="single" w:sz="4" w:space="4" w:color="auto"/>
                <w:bottom w:val="single" w:sz="4" w:space="1" w:color="auto"/>
                <w:right w:val="single" w:sz="4" w:space="4" w:color="auto"/>
              </w:pBdr>
              <w:spacing w:after="120"/>
              <w:rPr>
                <w:rFonts w:cs="Calibri"/>
                <w:sz w:val="28"/>
                <w:szCs w:val="28"/>
              </w:rPr>
            </w:pPr>
          </w:p>
          <w:p w:rsidR="00A25964" w:rsidRDefault="00A25964" w:rsidP="00A25964">
            <w:pPr>
              <w:pBdr>
                <w:top w:val="single" w:sz="4" w:space="1" w:color="auto"/>
                <w:left w:val="single" w:sz="4" w:space="4" w:color="auto"/>
                <w:bottom w:val="single" w:sz="4" w:space="1" w:color="auto"/>
                <w:right w:val="single" w:sz="4" w:space="4" w:color="auto"/>
              </w:pBdr>
              <w:spacing w:after="120"/>
              <w:rPr>
                <w:rFonts w:cs="Calibri"/>
                <w:sz w:val="28"/>
                <w:szCs w:val="28"/>
              </w:rPr>
            </w:pPr>
            <w:r>
              <w:rPr>
                <w:rFonts w:cs="Calibri"/>
                <w:sz w:val="28"/>
                <w:szCs w:val="28"/>
              </w:rPr>
              <w:t>Estas fuentes de trabajo habían dado vida a la región. Más de veinte minas estaban en explotación y en el Real del Oro, que contaba con altos hornos, se beneficiaban los minerales de plata y oro. Las barras que se obtenían de ambos minerales eran transportadas de continuo en grandes caravanas a la ciudad de México.</w:t>
            </w:r>
          </w:p>
          <w:p w:rsidR="00A25964" w:rsidRDefault="00A25964" w:rsidP="00A25964">
            <w:pPr>
              <w:pBdr>
                <w:top w:val="single" w:sz="4" w:space="1" w:color="auto"/>
                <w:left w:val="single" w:sz="4" w:space="4" w:color="auto"/>
                <w:bottom w:val="single" w:sz="4" w:space="1" w:color="auto"/>
                <w:right w:val="single" w:sz="4" w:space="4" w:color="auto"/>
              </w:pBdr>
              <w:spacing w:after="120"/>
              <w:rPr>
                <w:rFonts w:cs="Calibri"/>
                <w:sz w:val="28"/>
                <w:szCs w:val="28"/>
              </w:rPr>
            </w:pPr>
          </w:p>
          <w:p w:rsidR="00A25964" w:rsidRDefault="00A25964" w:rsidP="00A25964">
            <w:pPr>
              <w:pBdr>
                <w:top w:val="single" w:sz="4" w:space="1" w:color="auto"/>
                <w:left w:val="single" w:sz="4" w:space="4" w:color="auto"/>
                <w:bottom w:val="single" w:sz="4" w:space="1" w:color="auto"/>
                <w:right w:val="single" w:sz="4" w:space="4" w:color="auto"/>
              </w:pBdr>
              <w:spacing w:after="120"/>
              <w:rPr>
                <w:rFonts w:cs="Calibri"/>
                <w:sz w:val="28"/>
                <w:szCs w:val="28"/>
              </w:rPr>
            </w:pPr>
            <w:r>
              <w:rPr>
                <w:rFonts w:cs="Calibri"/>
                <w:sz w:val="28"/>
                <w:szCs w:val="28"/>
              </w:rPr>
              <w:t>Mal fin tuvieron tan importantes fuentes de trabajo. Los españoles resistieron los embates de la insurgencia, al mando de Francisco Guzmán, con fuerzas realistas hasta 1812, año en que se hizo imposible toda defensa y entonces decidieron refugiarse en Cotija provisionalmente, pero después fueron sorprendidos y decapitados en Santa María del Oro, en el sitio que actualmente ocupa la parroquia.</w:t>
            </w:r>
          </w:p>
          <w:p w:rsidR="00A25964" w:rsidRDefault="00A25964" w:rsidP="00A25964">
            <w:pPr>
              <w:pBdr>
                <w:top w:val="single" w:sz="4" w:space="1" w:color="auto"/>
                <w:left w:val="single" w:sz="4" w:space="4" w:color="auto"/>
                <w:bottom w:val="single" w:sz="4" w:space="1" w:color="auto"/>
                <w:right w:val="single" w:sz="4" w:space="4" w:color="auto"/>
              </w:pBdr>
              <w:spacing w:after="120"/>
              <w:rPr>
                <w:rFonts w:cs="Calibri"/>
                <w:sz w:val="28"/>
                <w:szCs w:val="28"/>
              </w:rPr>
            </w:pPr>
          </w:p>
          <w:p w:rsidR="00A25964" w:rsidRDefault="00A25964" w:rsidP="00A25964">
            <w:pPr>
              <w:pBdr>
                <w:top w:val="single" w:sz="4" w:space="1" w:color="auto"/>
                <w:left w:val="single" w:sz="4" w:space="4" w:color="auto"/>
                <w:bottom w:val="single" w:sz="4" w:space="1" w:color="auto"/>
                <w:right w:val="single" w:sz="4" w:space="4" w:color="auto"/>
              </w:pBdr>
              <w:spacing w:after="120"/>
              <w:rPr>
                <w:rFonts w:cs="Calibri"/>
                <w:sz w:val="28"/>
                <w:szCs w:val="28"/>
              </w:rPr>
            </w:pPr>
            <w:r>
              <w:rPr>
                <w:rFonts w:cs="Calibri"/>
                <w:sz w:val="28"/>
                <w:szCs w:val="28"/>
              </w:rPr>
              <w:t>En 1825 era una hacienda subordinada al municipio de Jilotlán de los Dolores, con el nombre de Río de Oro, según lo registró Victoriano Roa en su “Estadística del Estado Libre de Jalisco”.</w:t>
            </w:r>
          </w:p>
          <w:p w:rsidR="00A25964" w:rsidRDefault="00A25964" w:rsidP="00A25964">
            <w:pPr>
              <w:pBdr>
                <w:top w:val="single" w:sz="4" w:space="1" w:color="auto"/>
                <w:left w:val="single" w:sz="4" w:space="4" w:color="auto"/>
                <w:bottom w:val="single" w:sz="4" w:space="1" w:color="auto"/>
                <w:right w:val="single" w:sz="4" w:space="4" w:color="auto"/>
              </w:pBdr>
              <w:spacing w:after="120"/>
              <w:rPr>
                <w:rFonts w:cs="Calibri"/>
                <w:sz w:val="28"/>
                <w:szCs w:val="28"/>
              </w:rPr>
            </w:pPr>
          </w:p>
          <w:p w:rsidR="00A25964" w:rsidRDefault="00A25964" w:rsidP="00A25964">
            <w:pPr>
              <w:pBdr>
                <w:top w:val="single" w:sz="4" w:space="1" w:color="auto"/>
                <w:left w:val="single" w:sz="4" w:space="4" w:color="auto"/>
                <w:bottom w:val="single" w:sz="4" w:space="1" w:color="auto"/>
                <w:right w:val="single" w:sz="4" w:space="4" w:color="auto"/>
              </w:pBdr>
              <w:spacing w:after="120"/>
              <w:rPr>
                <w:rFonts w:cs="Calibri"/>
                <w:sz w:val="28"/>
                <w:szCs w:val="28"/>
              </w:rPr>
            </w:pPr>
            <w:r>
              <w:rPr>
                <w:rFonts w:cs="Calibri"/>
                <w:sz w:val="28"/>
                <w:szCs w:val="28"/>
              </w:rPr>
              <w:t>Por decreto número 373, publicado el 1° de octubre de 1889, el pueblo de Santa María de Guadalupe (hoy Santa María del Oro) se erigió en comisaría política del municipio de Jilotlán de los Dolores.</w:t>
            </w:r>
          </w:p>
          <w:p w:rsidR="00A25964" w:rsidRDefault="00A25964" w:rsidP="00A25964">
            <w:pPr>
              <w:pBdr>
                <w:top w:val="single" w:sz="4" w:space="1" w:color="auto"/>
                <w:left w:val="single" w:sz="4" w:space="4" w:color="auto"/>
                <w:bottom w:val="single" w:sz="4" w:space="1" w:color="auto"/>
                <w:right w:val="single" w:sz="4" w:space="4" w:color="auto"/>
              </w:pBdr>
              <w:spacing w:after="120"/>
              <w:rPr>
                <w:rFonts w:cs="Calibri"/>
                <w:sz w:val="28"/>
                <w:szCs w:val="28"/>
              </w:rPr>
            </w:pPr>
          </w:p>
          <w:p w:rsidR="00A25964" w:rsidRDefault="00A25964" w:rsidP="00A25964">
            <w:pPr>
              <w:pBdr>
                <w:top w:val="single" w:sz="4" w:space="1" w:color="auto"/>
                <w:left w:val="single" w:sz="4" w:space="4" w:color="auto"/>
                <w:bottom w:val="single" w:sz="4" w:space="1" w:color="auto"/>
                <w:right w:val="single" w:sz="4" w:space="4" w:color="auto"/>
              </w:pBdr>
              <w:spacing w:after="120"/>
              <w:rPr>
                <w:rFonts w:cs="Calibri"/>
                <w:sz w:val="28"/>
                <w:szCs w:val="28"/>
              </w:rPr>
            </w:pPr>
            <w:r>
              <w:rPr>
                <w:rFonts w:cs="Calibri"/>
                <w:sz w:val="28"/>
                <w:szCs w:val="28"/>
              </w:rPr>
              <w:t>El 28 de diciembre de 1938 se aprobó el decreto número 4465 (publicado hasta el día 5 de enero de 1939), mediante el cual se dispuso que la comisaría de Santa María de Guadalupe se erigiera en municipalidad con el nombre de Manuel M. Diéguez, en memoria del revolucionario y Gobernador del Estado, cuyo nombre completo era Manuel Macario Diéguez.</w:t>
            </w:r>
          </w:p>
          <w:p w:rsidR="00A25964" w:rsidRDefault="00A25964" w:rsidP="00A25964">
            <w:pPr>
              <w:pBdr>
                <w:top w:val="single" w:sz="4" w:space="1" w:color="auto"/>
                <w:left w:val="single" w:sz="4" w:space="4" w:color="auto"/>
                <w:bottom w:val="single" w:sz="4" w:space="1" w:color="auto"/>
                <w:right w:val="single" w:sz="4" w:space="4" w:color="auto"/>
              </w:pBdr>
              <w:spacing w:after="120"/>
              <w:rPr>
                <w:rFonts w:cs="Calibri"/>
                <w:sz w:val="28"/>
                <w:szCs w:val="28"/>
              </w:rPr>
            </w:pPr>
          </w:p>
          <w:p w:rsidR="00A25964" w:rsidRDefault="00A25964" w:rsidP="00A25964">
            <w:pPr>
              <w:pBdr>
                <w:top w:val="single" w:sz="4" w:space="1" w:color="auto"/>
                <w:left w:val="single" w:sz="4" w:space="4" w:color="auto"/>
                <w:bottom w:val="single" w:sz="4" w:space="1" w:color="auto"/>
                <w:right w:val="single" w:sz="4" w:space="4" w:color="auto"/>
              </w:pBdr>
              <w:spacing w:after="120"/>
              <w:rPr>
                <w:rFonts w:cs="Calibri"/>
                <w:sz w:val="28"/>
                <w:szCs w:val="28"/>
              </w:rPr>
            </w:pPr>
            <w:r>
              <w:rPr>
                <w:rFonts w:cs="Calibri"/>
                <w:sz w:val="28"/>
                <w:szCs w:val="28"/>
              </w:rPr>
              <w:t>Por decreto número 16475 del Congreso del Estado se autoriza el cambio de nombre de la cabecera del municipio de Manuel M. Diéguez, por el de Santa María del Oro. Esta disposición se autorizó el día 20 de diciembre de 1996 y se publicó el día 4 de febrero de 1997, entrando en vigor al día siguiente.</w:t>
            </w:r>
          </w:p>
          <w:p w:rsidR="00A25964" w:rsidRDefault="00A25964" w:rsidP="00A25964">
            <w:pPr>
              <w:pBdr>
                <w:top w:val="single" w:sz="4" w:space="1" w:color="auto"/>
                <w:left w:val="single" w:sz="4" w:space="4" w:color="auto"/>
                <w:bottom w:val="single" w:sz="4" w:space="1" w:color="auto"/>
                <w:right w:val="single" w:sz="4" w:space="4" w:color="auto"/>
              </w:pBdr>
              <w:spacing w:after="120"/>
              <w:rPr>
                <w:rFonts w:cs="Calibri"/>
                <w:sz w:val="28"/>
                <w:szCs w:val="28"/>
              </w:rPr>
            </w:pPr>
          </w:p>
          <w:p w:rsidR="00A25964" w:rsidRDefault="00A25964" w:rsidP="00A25964">
            <w:pPr>
              <w:pBdr>
                <w:top w:val="single" w:sz="4" w:space="1" w:color="auto"/>
                <w:left w:val="single" w:sz="4" w:space="4" w:color="auto"/>
                <w:bottom w:val="single" w:sz="4" w:space="1" w:color="auto"/>
                <w:right w:val="single" w:sz="4" w:space="4" w:color="auto"/>
              </w:pBdr>
              <w:spacing w:after="120"/>
              <w:rPr>
                <w:rFonts w:cs="Calibri"/>
                <w:sz w:val="28"/>
                <w:szCs w:val="28"/>
              </w:rPr>
            </w:pPr>
            <w:r>
              <w:rPr>
                <w:rFonts w:cs="Calibri"/>
                <w:sz w:val="28"/>
                <w:szCs w:val="28"/>
              </w:rPr>
              <w:t>Por decreto número 17,837 del Congreso del Estado, publicado el 10 de abril de 1999, se dispuso el cambio de nombre del municipio de Manuel M. Diéguez por el de Santa María del Oro, Jalisco.</w:t>
            </w:r>
          </w:p>
          <w:p w:rsidR="00A25964" w:rsidRDefault="00A25964" w:rsidP="00A25964">
            <w:pPr>
              <w:pBdr>
                <w:top w:val="single" w:sz="4" w:space="1" w:color="auto"/>
                <w:left w:val="single" w:sz="4" w:space="4" w:color="auto"/>
                <w:bottom w:val="single" w:sz="4" w:space="1" w:color="auto"/>
                <w:right w:val="single" w:sz="4" w:space="4" w:color="auto"/>
              </w:pBdr>
              <w:spacing w:after="120"/>
              <w:rPr>
                <w:rFonts w:cs="Calibri"/>
                <w:sz w:val="28"/>
                <w:szCs w:val="28"/>
              </w:rPr>
            </w:pPr>
          </w:p>
          <w:p w:rsidR="00A25964" w:rsidRDefault="00A25964" w:rsidP="00A25964">
            <w:pPr>
              <w:pBdr>
                <w:top w:val="single" w:sz="4" w:space="1" w:color="auto"/>
                <w:left w:val="single" w:sz="4" w:space="4" w:color="auto"/>
                <w:bottom w:val="single" w:sz="4" w:space="1" w:color="auto"/>
                <w:right w:val="single" w:sz="4" w:space="4" w:color="auto"/>
              </w:pBdr>
              <w:spacing w:after="120"/>
              <w:rPr>
                <w:rFonts w:cs="Calibri"/>
                <w:sz w:val="28"/>
                <w:szCs w:val="28"/>
              </w:rPr>
            </w:pPr>
          </w:p>
          <w:p w:rsidR="00A25964" w:rsidRDefault="00A25964" w:rsidP="00A25964">
            <w:pPr>
              <w:spacing w:after="120"/>
              <w:rPr>
                <w:sz w:val="28"/>
                <w:szCs w:val="28"/>
              </w:rPr>
            </w:pPr>
          </w:p>
          <w:p w:rsidR="00A25964" w:rsidRDefault="00A25964" w:rsidP="00A25964">
            <w:pPr>
              <w:pStyle w:val="Ttulo1"/>
              <w:keepNext/>
              <w:keepLines/>
              <w:spacing w:before="240" w:line="276" w:lineRule="auto"/>
              <w:rPr>
                <w:color w:val="2E74B5"/>
                <w:sz w:val="32"/>
                <w:szCs w:val="32"/>
              </w:rPr>
            </w:pPr>
            <w:r>
              <w:rPr>
                <w:rFonts w:ascii="Calibri Light" w:hAnsi="Calibri Light" w:cs="Calibri Light"/>
                <w:color w:val="2E74B5"/>
                <w:sz w:val="32"/>
                <w:szCs w:val="32"/>
              </w:rPr>
              <w:t>RESULTADOS DE LA GESTIÓN</w:t>
            </w:r>
          </w:p>
          <w:p w:rsidR="00A25964" w:rsidRDefault="00A25964" w:rsidP="00A25964">
            <w:pPr>
              <w:pBdr>
                <w:top w:val="single" w:sz="4" w:space="1" w:color="auto"/>
                <w:left w:val="single" w:sz="4" w:space="4" w:color="auto"/>
                <w:bottom w:val="single" w:sz="4" w:space="1" w:color="auto"/>
                <w:right w:val="single" w:sz="4" w:space="4" w:color="auto"/>
              </w:pBdr>
              <w:spacing w:after="120"/>
              <w:rPr>
                <w:rFonts w:cs="Calibri"/>
                <w:sz w:val="28"/>
                <w:szCs w:val="28"/>
              </w:rPr>
            </w:pPr>
            <w:r>
              <w:rPr>
                <w:rFonts w:cs="Calibri"/>
                <w:sz w:val="28"/>
                <w:szCs w:val="28"/>
              </w:rPr>
              <w:t>1.- En Relacion al suministro del  agua potable a los habitantes del municipio se  realizó un programa con respecto a  la construcción de  Tanques de agua de  almacenamiento y de  líneas de conducción  de las mismas.</w:t>
            </w:r>
          </w:p>
          <w:p w:rsidR="00A25964" w:rsidRDefault="00A25964" w:rsidP="00A25964">
            <w:pPr>
              <w:pBdr>
                <w:top w:val="single" w:sz="4" w:space="1" w:color="auto"/>
                <w:left w:val="single" w:sz="4" w:space="4" w:color="auto"/>
                <w:bottom w:val="single" w:sz="4" w:space="1" w:color="auto"/>
                <w:right w:val="single" w:sz="4" w:space="4" w:color="auto"/>
              </w:pBdr>
              <w:spacing w:after="120"/>
              <w:rPr>
                <w:rFonts w:cs="Calibri"/>
                <w:sz w:val="28"/>
                <w:szCs w:val="28"/>
              </w:rPr>
            </w:pPr>
            <w:r>
              <w:rPr>
                <w:rFonts w:cs="Calibri"/>
                <w:sz w:val="28"/>
                <w:szCs w:val="28"/>
              </w:rPr>
              <w:t xml:space="preserve">En el Primer Semestre de  este ejercicio  se  elaboró  un tanque  y una línea de agua en  una localidad  cumpliendo en un 25%  este programa </w:t>
            </w:r>
          </w:p>
          <w:p w:rsidR="00A25964" w:rsidRDefault="00A25964" w:rsidP="00A25964">
            <w:pPr>
              <w:pBdr>
                <w:top w:val="single" w:sz="4" w:space="1" w:color="auto"/>
                <w:left w:val="single" w:sz="4" w:space="4" w:color="auto"/>
                <w:bottom w:val="single" w:sz="4" w:space="1" w:color="auto"/>
                <w:right w:val="single" w:sz="4" w:space="4" w:color="auto"/>
              </w:pBdr>
              <w:spacing w:after="120"/>
              <w:rPr>
                <w:rFonts w:cs="Calibri"/>
                <w:sz w:val="28"/>
                <w:szCs w:val="28"/>
              </w:rPr>
            </w:pPr>
          </w:p>
          <w:p w:rsidR="00A25964" w:rsidRDefault="00A25964" w:rsidP="00A25964">
            <w:pPr>
              <w:pBdr>
                <w:top w:val="single" w:sz="4" w:space="1" w:color="auto"/>
                <w:left w:val="single" w:sz="4" w:space="4" w:color="auto"/>
                <w:bottom w:val="single" w:sz="4" w:space="1" w:color="auto"/>
                <w:right w:val="single" w:sz="4" w:space="4" w:color="auto"/>
              </w:pBdr>
              <w:spacing w:after="120"/>
              <w:rPr>
                <w:rFonts w:cs="Calibri"/>
                <w:sz w:val="28"/>
                <w:szCs w:val="28"/>
              </w:rPr>
            </w:pPr>
            <w:r>
              <w:rPr>
                <w:rFonts w:cs="Calibri"/>
                <w:sz w:val="28"/>
                <w:szCs w:val="28"/>
              </w:rPr>
              <w:t xml:space="preserve">2.-En relación a  Segundo  proyecto   que es de seguridad pública  a los Municipios   solo les corresponde tener policía preventiva  en  prevención del delito  así lo marca nuestra carta magina los elementos de seguridad se  dedicaron a dar rondines programados y a atender  denuncias de maltrato   en hogares, este programa se ha cumplido en un 100%  en la  programación del mismo </w:t>
            </w:r>
          </w:p>
          <w:p w:rsidR="00A25964" w:rsidRDefault="00A25964" w:rsidP="00A25964">
            <w:pPr>
              <w:pBdr>
                <w:top w:val="single" w:sz="4" w:space="1" w:color="auto"/>
                <w:left w:val="single" w:sz="4" w:space="4" w:color="auto"/>
                <w:bottom w:val="single" w:sz="4" w:space="1" w:color="auto"/>
                <w:right w:val="single" w:sz="4" w:space="4" w:color="auto"/>
              </w:pBdr>
              <w:spacing w:after="120"/>
              <w:rPr>
                <w:rFonts w:cs="Calibri"/>
                <w:sz w:val="28"/>
                <w:szCs w:val="28"/>
              </w:rPr>
            </w:pPr>
            <w:r>
              <w:rPr>
                <w:rFonts w:cs="Calibri"/>
                <w:sz w:val="28"/>
                <w:szCs w:val="28"/>
              </w:rPr>
              <w:t xml:space="preserve">3.-En relación  a lo correspondiente a las reparaciones de brechas se  cumplió este programa en un 100% en  lo que concierne  las brechas del Municipio. </w:t>
            </w:r>
          </w:p>
          <w:p w:rsidR="00A25964" w:rsidRDefault="00A25964" w:rsidP="00A25964">
            <w:pPr>
              <w:rPr>
                <w:rFonts w:ascii="Arial" w:hAnsi="Arial" w:cs="Arial"/>
                <w:sz w:val="23"/>
                <w:szCs w:val="23"/>
              </w:rPr>
            </w:pPr>
          </w:p>
          <w:p w:rsidR="00A45E83" w:rsidRPr="007326BD" w:rsidRDefault="00A45E83" w:rsidP="00A45E83">
            <w:pPr>
              <w:spacing w:after="0" w:line="240" w:lineRule="auto"/>
              <w:jc w:val="both"/>
              <w:rPr>
                <w:rFonts w:ascii="Arial" w:hAnsi="Arial" w:cs="Arial"/>
                <w:sz w:val="24"/>
                <w:szCs w:val="24"/>
              </w:rPr>
            </w:pPr>
          </w:p>
        </w:tc>
      </w:tr>
    </w:tbl>
    <w:p w:rsidR="00A45E83" w:rsidRDefault="00A45E83">
      <w:pPr>
        <w:rPr>
          <w:rFonts w:ascii="Arial" w:hAnsi="Arial" w:cs="Arial"/>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94"/>
        <w:gridCol w:w="1276"/>
        <w:gridCol w:w="3908"/>
      </w:tblGrid>
      <w:tr w:rsidR="00900B0E" w:rsidRPr="001F0913" w:rsidTr="00900B0E">
        <w:tc>
          <w:tcPr>
            <w:tcW w:w="3794" w:type="dxa"/>
            <w:shd w:val="clear" w:color="auto" w:fill="auto"/>
          </w:tcPr>
          <w:p w:rsidR="00900B0E" w:rsidRPr="001F0913" w:rsidRDefault="00F568DD" w:rsidP="00B07C90">
            <w:pPr>
              <w:tabs>
                <w:tab w:val="center" w:pos="1789"/>
              </w:tabs>
              <w:rPr>
                <w:rFonts w:ascii="Arial" w:hAnsi="Arial" w:cs="Arial"/>
                <w:sz w:val="20"/>
              </w:rPr>
            </w:pPr>
            <w:r w:rsidRPr="001F0913">
              <w:rPr>
                <w:rFonts w:ascii="Arial" w:hAnsi="Arial" w:cs="Arial"/>
                <w:noProof/>
                <w:lang w:eastAsia="es-MX"/>
              </w:rPr>
              <mc:AlternateContent>
                <mc:Choice Requires="wps">
                  <w:drawing>
                    <wp:anchor distT="0" distB="0" distL="114300" distR="114300" simplePos="0" relativeHeight="251657216" behindDoc="0" locked="0" layoutInCell="1" allowOverlap="1">
                      <wp:simplePos x="0" y="0"/>
                      <wp:positionH relativeFrom="column">
                        <wp:posOffset>-22860</wp:posOffset>
                      </wp:positionH>
                      <wp:positionV relativeFrom="paragraph">
                        <wp:posOffset>259715</wp:posOffset>
                      </wp:positionV>
                      <wp:extent cx="2295525" cy="0"/>
                      <wp:effectExtent l="9525" t="6350" r="9525" b="1270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5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40F99AB" id="_x0000_t32" coordsize="21600,21600" o:spt="32" o:oned="t" path="m,l21600,21600e" filled="f">
                      <v:path arrowok="t" fillok="f" o:connecttype="none"/>
                      <o:lock v:ext="edit" shapetype="t"/>
                    </v:shapetype>
                    <v:shape id="AutoShape 4" o:spid="_x0000_s1026" type="#_x0000_t32" style="position:absolute;margin-left:-1.8pt;margin-top:20.45pt;width:180.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"/>
                  </w:pict>
                </mc:Fallback>
              </mc:AlternateContent>
            </w:r>
            <w:r w:rsidR="00B07C90">
              <w:rPr>
                <w:rFonts w:ascii="Arial" w:hAnsi="Arial" w:cs="Arial"/>
                <w:sz w:val="20"/>
              </w:rPr>
              <w:tab/>
            </w:r>
          </w:p>
        </w:tc>
        <w:tc>
          <w:tcPr>
            <w:tcW w:w="1276" w:type="dxa"/>
            <w:shd w:val="clear" w:color="auto" w:fill="auto"/>
          </w:tcPr>
          <w:p w:rsidR="00900B0E" w:rsidRPr="001F0913" w:rsidRDefault="00B07C90" w:rsidP="00B07C90">
            <w:pPr>
              <w:tabs>
                <w:tab w:val="left" w:pos="634"/>
              </w:tabs>
              <w:rPr>
                <w:rFonts w:ascii="Arial" w:hAnsi="Arial" w:cs="Arial"/>
                <w:sz w:val="20"/>
              </w:rPr>
            </w:pPr>
            <w:r>
              <w:rPr>
                <w:rFonts w:ascii="Arial" w:hAnsi="Arial" w:cs="Arial"/>
                <w:sz w:val="20"/>
              </w:rPr>
              <w:tab/>
            </w:r>
          </w:p>
        </w:tc>
        <w:tc>
          <w:tcPr>
            <w:tcW w:w="3908" w:type="dxa"/>
            <w:shd w:val="clear" w:color="auto" w:fill="auto"/>
          </w:tcPr>
          <w:p w:rsidR="00900B0E" w:rsidRPr="001F0913" w:rsidRDefault="00F568DD" w:rsidP="00B07C90">
            <w:pPr>
              <w:tabs>
                <w:tab w:val="center" w:pos="1846"/>
              </w:tabs>
              <w:rPr>
                <w:rFonts w:ascii="Arial" w:hAnsi="Arial" w:cs="Arial"/>
                <w:sz w:val="20"/>
              </w:rPr>
            </w:pPr>
            <w:r w:rsidRPr="001F0913">
              <w:rPr>
                <w:rFonts w:ascii="Arial" w:hAnsi="Arial" w:cs="Arial"/>
                <w:noProof/>
                <w:lang w:eastAsia="es-MX"/>
              </w:rPr>
              <mc:AlternateContent>
                <mc:Choice Requires="wps">
                  <w:drawing>
                    <wp:anchor distT="0" distB="0" distL="114300" distR="114300" simplePos="0" relativeHeight="251658240" behindDoc="0" locked="0" layoutInCell="1" allowOverlap="1">
                      <wp:simplePos x="0" y="0"/>
                      <wp:positionH relativeFrom="column">
                        <wp:posOffset>15240</wp:posOffset>
                      </wp:positionH>
                      <wp:positionV relativeFrom="paragraph">
                        <wp:posOffset>259715</wp:posOffset>
                      </wp:positionV>
                      <wp:extent cx="2295525" cy="0"/>
                      <wp:effectExtent l="9525" t="6350" r="9525" b="1270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5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276BBD2" id="AutoShape 5" o:spid="_x0000_s1026" type="#_x0000_t32" style="position:absolute;margin-left:1.2pt;margin-top:20.45pt;width:180.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"/>
                  </w:pict>
                </mc:Fallback>
              </mc:AlternateContent>
            </w:r>
            <w:r w:rsidR="00B07C90">
              <w:rPr>
                <w:rFonts w:ascii="Arial" w:hAnsi="Arial" w:cs="Arial"/>
                <w:sz w:val="20"/>
              </w:rPr>
              <w:tab/>
            </w:r>
          </w:p>
        </w:tc>
      </w:tr>
      <w:tr w:rsidR="00900B0E" w:rsidRPr="001F0913" w:rsidTr="00900B0E">
        <w:tc>
          <w:tcPr>
            <w:tcW w:w="3794" w:type="dxa"/>
            <w:shd w:val="clear" w:color="auto" w:fill="auto"/>
          </w:tcPr>
          <w:p w:rsidR="00900B0E" w:rsidRPr="001A2522" w:rsidRDefault="00A25964" w:rsidP="00BE3AB1">
            <w:pPr>
              <w:jc w:val="center"/>
              <w:rPr>
                <w:rFonts w:ascii="Arial" w:hAnsi="Arial" w:cs="Arial"/>
                <w:b/>
                <w:sz w:val="20"/>
              </w:rPr>
            </w:pPr>
            <w:bookmarkStart w:id="4" w:name="firma1"/>
            <w:bookmarkEnd w:id="4"/>
            <w:r>
              <w:rPr>
                <w:rFonts w:ascii="Arial" w:hAnsi="Arial" w:cs="Arial"/>
                <w:b/>
                <w:sz w:val="20"/>
              </w:rPr>
              <w:t>ARICELA LOPEZ LOPEZ</w:t>
            </w:r>
          </w:p>
          <w:p w:rsidR="00900B0E" w:rsidRPr="001A2522" w:rsidRDefault="00A25964" w:rsidP="001A2522">
            <w:pPr>
              <w:jc w:val="center"/>
              <w:rPr>
                <w:rFonts w:ascii="Arial" w:hAnsi="Arial" w:cs="Arial"/>
                <w:b/>
                <w:sz w:val="20"/>
              </w:rPr>
            </w:pPr>
            <w:bookmarkStart w:id="5" w:name="Cargo1"/>
            <w:bookmarkEnd w:id="5"/>
            <w:r>
              <w:rPr>
                <w:rFonts w:ascii="Arial" w:hAnsi="Arial" w:cs="Arial"/>
                <w:b/>
                <w:sz w:val="20"/>
              </w:rPr>
              <w:t>PRESIDENTA MUNICIPAL</w:t>
            </w:r>
          </w:p>
        </w:tc>
        <w:tc>
          <w:tcPr>
            <w:tcW w:w="1276" w:type="dxa"/>
            <w:shd w:val="clear" w:color="auto" w:fill="auto"/>
          </w:tcPr>
          <w:p w:rsidR="00900B0E" w:rsidRPr="001F0913" w:rsidRDefault="00B07C90" w:rsidP="00B07C90">
            <w:pPr>
              <w:tabs>
                <w:tab w:val="left" w:pos="668"/>
              </w:tabs>
              <w:rPr>
                <w:rFonts w:ascii="Arial" w:hAnsi="Arial" w:cs="Arial"/>
                <w:sz w:val="20"/>
              </w:rPr>
            </w:pPr>
            <w:r>
              <w:rPr>
                <w:rFonts w:ascii="Arial" w:hAnsi="Arial" w:cs="Arial"/>
                <w:sz w:val="20"/>
              </w:rPr>
              <w:tab/>
            </w:r>
          </w:p>
        </w:tc>
        <w:tc>
          <w:tcPr>
            <w:tcW w:w="3908" w:type="dxa"/>
            <w:shd w:val="clear" w:color="auto" w:fill="auto"/>
          </w:tcPr>
          <w:p w:rsidR="00900B0E" w:rsidRPr="001A2522" w:rsidRDefault="00A25964" w:rsidP="00BE3AB1">
            <w:pPr>
              <w:jc w:val="center"/>
              <w:rPr>
                <w:rFonts w:ascii="Arial" w:hAnsi="Arial" w:cs="Arial"/>
                <w:b/>
                <w:sz w:val="20"/>
              </w:rPr>
            </w:pPr>
            <w:bookmarkStart w:id="6" w:name="firma2"/>
            <w:bookmarkEnd w:id="6"/>
            <w:r>
              <w:rPr>
                <w:rFonts w:ascii="Arial" w:hAnsi="Arial" w:cs="Arial"/>
                <w:b/>
                <w:sz w:val="20"/>
              </w:rPr>
              <w:t>YOVANA PEREZ SANCHEZ</w:t>
            </w:r>
          </w:p>
          <w:p w:rsidR="00900B0E" w:rsidRPr="001A2522" w:rsidRDefault="00A25964" w:rsidP="00B07C90">
            <w:pPr>
              <w:jc w:val="center"/>
              <w:rPr>
                <w:rFonts w:ascii="Arial" w:hAnsi="Arial" w:cs="Arial"/>
                <w:b/>
                <w:sz w:val="20"/>
              </w:rPr>
            </w:pPr>
            <w:bookmarkStart w:id="7" w:name="Cargo2"/>
            <w:bookmarkEnd w:id="7"/>
            <w:r>
              <w:rPr>
                <w:rFonts w:ascii="Arial" w:hAnsi="Arial" w:cs="Arial"/>
                <w:b/>
                <w:sz w:val="20"/>
              </w:rPr>
              <w:t>ENCARGADA DE LA HACIENDA</w:t>
            </w:r>
          </w:p>
        </w:tc>
      </w:tr>
    </w:tbl>
    <w:p w:rsidR="00002A2C" w:rsidRDefault="00002A2C">
      <w:pPr>
        <w:rPr>
          <w:rFonts w:ascii="Arial" w:hAnsi="Arial" w:cs="Arial"/>
        </w:rPr>
      </w:pPr>
    </w:p>
    <w:p w:rsidR="00900B0E" w:rsidRPr="00721735" w:rsidRDefault="00900B0E" w:rsidP="00DB3177">
      <w:pPr>
        <w:jc w:val="center"/>
        <w:rPr>
          <w:rFonts w:ascii="C39HrP24DhTt" w:hAnsi="C39HrP24DhTt" w:cs="Arial"/>
          <w:sz w:val="44"/>
          <w:szCs w:val="44"/>
        </w:rPr>
      </w:pPr>
    </w:p>
    <w:p w:rsidR="00900B0E" w:rsidRDefault="00900B0E" w:rsidP="002A42CF">
      <w:pPr>
        <w:rPr>
          <w:rFonts w:ascii="Arial" w:hAnsi="Arial" w:cs="Arial"/>
          <w:sz w:val="24"/>
          <w:szCs w:val="24"/>
        </w:rPr>
      </w:pPr>
    </w:p>
    <w:p w:rsidR="002A42CF" w:rsidRPr="00076359" w:rsidRDefault="00A25964" w:rsidP="002A42CF">
      <w:pPr>
        <w:jc w:val="center"/>
        <w:rPr>
          <w:rFonts w:ascii="C39HrP24DhTt" w:hAnsi="C39HrP24DhTt" w:cs="Arial"/>
          <w:sz w:val="44"/>
          <w:szCs w:val="44"/>
        </w:rPr>
      </w:pPr>
      <w:bookmarkStart w:id="8" w:name="codigo"/>
      <w:bookmarkEnd w:id="8"/>
      <w:r>
        <w:rPr>
          <w:rFonts w:ascii="C39HrP24DhTt" w:hAnsi="C39HrP24DhTt" w:cs="Arial"/>
          <w:sz w:val="44"/>
          <w:szCs w:val="44"/>
        </w:rPr>
        <w:t>ASEJ2024-17-20-08-2025-1</w:t>
      </w:r>
    </w:p>
    <w:p w:rsidR="002A42CF" w:rsidRDefault="002A42CF" w:rsidP="00002A2C">
      <w:pPr>
        <w:rPr>
          <w:rFonts w:ascii="Arial" w:hAnsi="Arial" w:cs="Arial"/>
          <w:sz w:val="24"/>
          <w:szCs w:val="24"/>
        </w:rPr>
      </w:pPr>
    </w:p>
    <w:p w:rsidR="00002A2C" w:rsidRPr="00B157EC" w:rsidRDefault="00002A2C" w:rsidP="00002A2C">
      <w:pPr>
        <w:rPr>
          <w:rFonts w:ascii="Arial" w:hAnsi="Arial" w:cs="Arial"/>
          <w:sz w:val="24"/>
          <w:szCs w:val="24"/>
        </w:rPr>
      </w:pPr>
      <w:r w:rsidRPr="00B157EC">
        <w:rPr>
          <w:rFonts w:ascii="Arial" w:hAnsi="Arial" w:cs="Arial"/>
          <w:sz w:val="24"/>
          <w:szCs w:val="24"/>
        </w:rPr>
        <w:t>Bajo protesta de decir verdad declaramos que los Estados Financieros y sus Notas son razonablemente correctos y responsabilidad del emisor.</w:t>
      </w:r>
    </w:p>
    <w:p w:rsidR="00002A2C" w:rsidRPr="007326BD" w:rsidRDefault="00002A2C">
      <w:pPr>
        <w:rPr>
          <w:rFonts w:ascii="Arial" w:hAnsi="Arial" w:cs="Arial"/>
        </w:rPr>
      </w:pPr>
    </w:p>
    <w:sectPr w:rsidR="00002A2C" w:rsidRPr="007326BD" w:rsidSect="0080660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39HrP24DhTt">
    <w:panose1 w:val="00000000000000000000"/>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E83"/>
    <w:rsid w:val="00002A2C"/>
    <w:rsid w:val="00076359"/>
    <w:rsid w:val="000D0F62"/>
    <w:rsid w:val="001A2522"/>
    <w:rsid w:val="001F207A"/>
    <w:rsid w:val="00203DB3"/>
    <w:rsid w:val="002A42CF"/>
    <w:rsid w:val="0040191D"/>
    <w:rsid w:val="005D285A"/>
    <w:rsid w:val="007326BD"/>
    <w:rsid w:val="007D77B1"/>
    <w:rsid w:val="00806603"/>
    <w:rsid w:val="00900B0E"/>
    <w:rsid w:val="00A25964"/>
    <w:rsid w:val="00A45E83"/>
    <w:rsid w:val="00A74DC0"/>
    <w:rsid w:val="00B07C90"/>
    <w:rsid w:val="00BE3AB1"/>
    <w:rsid w:val="00CC558D"/>
    <w:rsid w:val="00D27CAF"/>
    <w:rsid w:val="00D64D9B"/>
    <w:rsid w:val="00DB3177"/>
    <w:rsid w:val="00F568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603"/>
    <w:pPr>
      <w:spacing w:after="200" w:line="276" w:lineRule="auto"/>
    </w:pPr>
    <w:rPr>
      <w:sz w:val="22"/>
      <w:szCs w:val="22"/>
      <w:lang w:eastAsia="en-US"/>
    </w:rPr>
  </w:style>
  <w:style w:type="paragraph" w:styleId="Ttulo1">
    <w:name w:val="heading 1"/>
    <w:basedOn w:val="Normal"/>
    <w:next w:val="Normal"/>
    <w:link w:val="Ttulo1Car"/>
    <w:uiPriority w:val="99"/>
    <w:qFormat/>
    <w:rsid w:val="00A25964"/>
    <w:pPr>
      <w:autoSpaceDE w:val="0"/>
      <w:autoSpaceDN w:val="0"/>
      <w:adjustRightInd w:val="0"/>
      <w:spacing w:after="0" w:line="240" w:lineRule="auto"/>
      <w:outlineLvl w:val="0"/>
    </w:pPr>
    <w:rPr>
      <w:rFonts w:ascii="Times New Roman" w:hAnsi="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45E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9"/>
    <w:rsid w:val="00A25964"/>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603"/>
    <w:pPr>
      <w:spacing w:after="200" w:line="276" w:lineRule="auto"/>
    </w:pPr>
    <w:rPr>
      <w:sz w:val="22"/>
      <w:szCs w:val="22"/>
      <w:lang w:eastAsia="en-US"/>
    </w:rPr>
  </w:style>
  <w:style w:type="paragraph" w:styleId="Ttulo1">
    <w:name w:val="heading 1"/>
    <w:basedOn w:val="Normal"/>
    <w:next w:val="Normal"/>
    <w:link w:val="Ttulo1Car"/>
    <w:uiPriority w:val="99"/>
    <w:qFormat/>
    <w:rsid w:val="00A25964"/>
    <w:pPr>
      <w:autoSpaceDE w:val="0"/>
      <w:autoSpaceDN w:val="0"/>
      <w:adjustRightInd w:val="0"/>
      <w:spacing w:after="0" w:line="240" w:lineRule="auto"/>
      <w:outlineLvl w:val="0"/>
    </w:pPr>
    <w:rPr>
      <w:rFonts w:ascii="Times New Roman" w:hAnsi="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45E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9"/>
    <w:rsid w:val="00A25964"/>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089B0-0957-459A-BE40-53A8109C8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663</Words>
  <Characters>3649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ASEJ</Company>
  <LinksUpToDate>false</LinksUpToDate>
  <CharactersWithSpaces>4304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ASEJ;Ramiro Ochoa Cisneros</dc:creator>
  <cp:keywords/>
  <cp:lastModifiedBy>Hp</cp:lastModifiedBy>
  <cp:revision>7</cp:revision>
  <dcterms:created xsi:type="dcterms:W3CDTF">2020-05-27T16:03:00Z</dcterms:created>
  <dcterms:modified xsi:type="dcterms:W3CDTF">2025-08-20T18:27:00Z</dcterms:modified>
</cp:coreProperties>
</file>