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A45E83" w:rsidRPr="007326BD" w:rsidTr="00A45E83">
        <w:tc>
          <w:tcPr>
            <w:tcW w:w="8978" w:type="dxa"/>
          </w:tcPr>
          <w:p w:rsidR="009F5BF2" w:rsidRDefault="008D7595" w:rsidP="00245F49">
            <w:pPr>
              <w:spacing w:after="0" w:line="240" w:lineRule="auto"/>
              <w:jc w:val="center"/>
              <w:rPr>
                <w:rFonts w:ascii="Arial" w:hAnsi="Arial" w:cs="Arial"/>
                <w:b/>
                <w:sz w:val="24"/>
                <w:szCs w:val="28"/>
              </w:rPr>
            </w:pPr>
            <w:bookmarkStart w:id="0" w:name="ente"/>
            <w:bookmarkStart w:id="1" w:name="_GoBack"/>
            <w:bookmarkEnd w:id="0"/>
            <w:bookmarkEnd w:id="1"/>
            <w:r>
              <w:rPr>
                <w:rFonts w:ascii="Arial" w:hAnsi="Arial" w:cs="Arial"/>
                <w:b/>
                <w:sz w:val="24"/>
                <w:szCs w:val="28"/>
              </w:rPr>
              <w:t>CUENTA PÚBLICA - MUNICIPIO SANTA MARÍA DEL ORO</w:t>
            </w:r>
          </w:p>
          <w:p w:rsidR="00245F49" w:rsidRPr="004A7026" w:rsidRDefault="00245F49" w:rsidP="00245F49">
            <w:pPr>
              <w:spacing w:after="0" w:line="240" w:lineRule="auto"/>
              <w:jc w:val="center"/>
              <w:rPr>
                <w:rFonts w:ascii="Arial" w:hAnsi="Arial" w:cs="Arial"/>
                <w:b/>
                <w:sz w:val="24"/>
                <w:szCs w:val="28"/>
              </w:rPr>
            </w:pPr>
            <w:r w:rsidRPr="004A7026">
              <w:rPr>
                <w:rFonts w:ascii="Arial" w:hAnsi="Arial" w:cs="Arial"/>
                <w:b/>
                <w:sz w:val="24"/>
                <w:szCs w:val="28"/>
              </w:rPr>
              <w:t>NOTAS A LOS ESTADOS FINANCIEROS</w:t>
            </w:r>
          </w:p>
          <w:p w:rsidR="00A45E83" w:rsidRPr="006628DA" w:rsidRDefault="00245F49" w:rsidP="006628DA">
            <w:pPr>
              <w:spacing w:after="0" w:line="240" w:lineRule="auto"/>
              <w:jc w:val="center"/>
              <w:rPr>
                <w:rFonts w:ascii="Arial" w:hAnsi="Arial" w:cs="Arial"/>
                <w:b/>
                <w:sz w:val="24"/>
                <w:szCs w:val="28"/>
              </w:rPr>
            </w:pPr>
            <w:r w:rsidRPr="004A7026">
              <w:rPr>
                <w:rFonts w:ascii="Arial" w:hAnsi="Arial" w:cs="Arial"/>
                <w:b/>
                <w:sz w:val="24"/>
                <w:szCs w:val="28"/>
              </w:rPr>
              <w:t xml:space="preserve"> DE GESTIÓN ADMINISTRATIVA</w:t>
            </w:r>
          </w:p>
          <w:p w:rsidR="00A45E83" w:rsidRPr="00EF11D0" w:rsidRDefault="008D7595" w:rsidP="00A45E83">
            <w:pPr>
              <w:spacing w:after="0" w:line="240" w:lineRule="auto"/>
              <w:jc w:val="center"/>
              <w:rPr>
                <w:rFonts w:ascii="Arial" w:hAnsi="Arial" w:cs="Arial"/>
                <w:b/>
                <w:sz w:val="24"/>
                <w:szCs w:val="24"/>
              </w:rPr>
            </w:pPr>
            <w:bookmarkStart w:id="2" w:name="periodo"/>
            <w:bookmarkEnd w:id="2"/>
            <w:r>
              <w:rPr>
                <w:rFonts w:ascii="Arial" w:hAnsi="Arial" w:cs="Arial"/>
                <w:b/>
                <w:sz w:val="24"/>
                <w:szCs w:val="24"/>
              </w:rPr>
              <w:t>DEL 1° DE ENERO AL 31 DE DICIEMBRE DE 2024</w:t>
            </w:r>
          </w:p>
        </w:tc>
      </w:tr>
    </w:tbl>
    <w:p w:rsidR="00806603" w:rsidRPr="007326BD" w:rsidRDefault="00806603" w:rsidP="00A45E83">
      <w:pPr>
        <w:spacing w:after="120" w:line="240" w:lineRule="auto"/>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A45E83" w:rsidRPr="007326BD" w:rsidTr="00A45E83">
        <w:tc>
          <w:tcPr>
            <w:tcW w:w="8978" w:type="dxa"/>
          </w:tcPr>
          <w:p w:rsidR="008D7595" w:rsidRDefault="008D7595" w:rsidP="008D7595">
            <w:pPr>
              <w:autoSpaceDE w:val="0"/>
              <w:autoSpaceDN w:val="0"/>
              <w:adjustRightInd w:val="0"/>
              <w:spacing w:after="160"/>
              <w:rPr>
                <w:rFonts w:cs="Calibri"/>
                <w:kern w:val="2"/>
                <w:sz w:val="24"/>
                <w:szCs w:val="24"/>
                <w:lang w:eastAsia="es-MX"/>
              </w:rPr>
            </w:pPr>
            <w:bookmarkStart w:id="3" w:name="cuerpo"/>
            <w:bookmarkEnd w:id="3"/>
            <w:r>
              <w:rPr>
                <w:rFonts w:cs="Calibri"/>
                <w:kern w:val="2"/>
                <w:sz w:val="24"/>
                <w:szCs w:val="24"/>
                <w:lang w:eastAsia="es-MX"/>
              </w:rPr>
              <w:t>NOTAS DE GESTIÓN ADMINISTRATIVA</w:t>
            </w:r>
          </w:p>
          <w:p w:rsidR="008D7595" w:rsidRDefault="008D7595" w:rsidP="008D7595">
            <w:pPr>
              <w:autoSpaceDE w:val="0"/>
              <w:autoSpaceDN w:val="0"/>
              <w:adjustRightInd w:val="0"/>
              <w:spacing w:after="160"/>
              <w:rPr>
                <w:rFonts w:cs="Calibri"/>
                <w:kern w:val="2"/>
                <w:sz w:val="24"/>
                <w:szCs w:val="24"/>
                <w:lang w:eastAsia="es-MX"/>
              </w:rPr>
            </w:pP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Antes de la conquista, esta región estuvo habitada por indígenas purépechas o tarascos, que posteriormente fueron derrotados en la Guerra del Salitre en 1510. Los primeros pobladores ya explotaban el oro y la plata según claras muestras dejadas en yácatas y ruinas ubicadas en el rancho Las Minas a 6 kilómetros al oriente de la cabecera municipal.</w:t>
            </w:r>
          </w:p>
          <w:p w:rsidR="008D7595" w:rsidRDefault="008D7595" w:rsidP="008D7595">
            <w:pPr>
              <w:autoSpaceDE w:val="0"/>
              <w:autoSpaceDN w:val="0"/>
              <w:adjustRightInd w:val="0"/>
              <w:spacing w:after="160"/>
              <w:rPr>
                <w:rFonts w:cs="Calibri"/>
                <w:kern w:val="2"/>
                <w:sz w:val="24"/>
                <w:szCs w:val="24"/>
                <w:lang w:eastAsia="es-MX"/>
              </w:rPr>
            </w:pP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En 1523, Alonso de Ávalos conquistó esta región.</w:t>
            </w:r>
          </w:p>
          <w:p w:rsidR="008D7595" w:rsidRDefault="008D7595" w:rsidP="008D7595">
            <w:pPr>
              <w:autoSpaceDE w:val="0"/>
              <w:autoSpaceDN w:val="0"/>
              <w:adjustRightInd w:val="0"/>
              <w:spacing w:after="160"/>
              <w:rPr>
                <w:rFonts w:cs="Calibri"/>
                <w:kern w:val="2"/>
                <w:sz w:val="24"/>
                <w:szCs w:val="24"/>
                <w:lang w:eastAsia="es-MX"/>
              </w:rPr>
            </w:pP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En sus orígenes el poblado pasó a ser un rancho denominado La Teja, que pertenecía a Ramón Ochoa, originario de Quitupan.</w:t>
            </w:r>
          </w:p>
          <w:p w:rsidR="008D7595" w:rsidRDefault="008D7595" w:rsidP="008D7595">
            <w:pPr>
              <w:autoSpaceDE w:val="0"/>
              <w:autoSpaceDN w:val="0"/>
              <w:adjustRightInd w:val="0"/>
              <w:spacing w:after="160"/>
              <w:rPr>
                <w:rFonts w:cs="Calibri"/>
                <w:kern w:val="2"/>
                <w:sz w:val="24"/>
                <w:szCs w:val="24"/>
                <w:lang w:eastAsia="es-MX"/>
              </w:rPr>
            </w:pP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La actividad minera alcanzó su esplendor a partir de la segunda mitad del siglo XVIII llamándose el lugar como “Real Hacienda de Beneficio del Río del Oro”.</w:t>
            </w:r>
          </w:p>
          <w:p w:rsidR="008D7595" w:rsidRDefault="008D7595" w:rsidP="008D7595">
            <w:pPr>
              <w:autoSpaceDE w:val="0"/>
              <w:autoSpaceDN w:val="0"/>
              <w:adjustRightInd w:val="0"/>
              <w:spacing w:after="160"/>
              <w:rPr>
                <w:rFonts w:cs="Calibri"/>
                <w:kern w:val="2"/>
                <w:sz w:val="24"/>
                <w:szCs w:val="24"/>
                <w:lang w:eastAsia="es-MX"/>
              </w:rPr>
            </w:pP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A principios del siglo XIX, estuvo en febril actividad al norte de la población el ingenio azucarero La Jarana donde se elaboraba azúcar, panocha, alcohol, y que dejó de funcionar durante la Guerra de Independencia. Tanto el anterior ingenio como el centro minero Real del Oro pertenecían a unos españoles que radicaban en Cotija, Mich.</w:t>
            </w:r>
          </w:p>
          <w:p w:rsidR="008D7595" w:rsidRDefault="008D7595" w:rsidP="008D7595">
            <w:pPr>
              <w:autoSpaceDE w:val="0"/>
              <w:autoSpaceDN w:val="0"/>
              <w:adjustRightInd w:val="0"/>
              <w:spacing w:after="160"/>
              <w:rPr>
                <w:rFonts w:cs="Calibri"/>
                <w:kern w:val="2"/>
                <w:sz w:val="24"/>
                <w:szCs w:val="24"/>
                <w:lang w:eastAsia="es-MX"/>
              </w:rPr>
            </w:pP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Estas fuentes de trabajo habían dado vida a la región. Más de veinte minas estaban en explotación y en el Real del Oro, que contaba con altos hornos, se beneficiaban los minerales de plata y oro. Las barras que se obtenían de ambos minerales eran transportadas de continuo en grandes caravanas a la ciudad de México.</w:t>
            </w:r>
          </w:p>
          <w:p w:rsidR="008D7595" w:rsidRDefault="008D7595" w:rsidP="008D7595">
            <w:pPr>
              <w:autoSpaceDE w:val="0"/>
              <w:autoSpaceDN w:val="0"/>
              <w:adjustRightInd w:val="0"/>
              <w:spacing w:after="160"/>
              <w:rPr>
                <w:rFonts w:cs="Calibri"/>
                <w:kern w:val="2"/>
                <w:sz w:val="24"/>
                <w:szCs w:val="24"/>
                <w:lang w:eastAsia="es-MX"/>
              </w:rPr>
            </w:pP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Mal fin tuvieron tan importantes fuentes de trabajo. Los españoles resistieron los embates de la insurgencia, al mando de Francisco Guzmán, con fuerzas realistas hasta 1812, año en que se hizo imposible toda defensa y entonces decidieron refugiarse en Cotija provisionalmente, pero después fueron sorprendidos y decapitados en Santa María del Oro, en el sitio que actualmente ocupa la parroquia.</w:t>
            </w:r>
          </w:p>
          <w:p w:rsidR="008D7595" w:rsidRDefault="008D7595" w:rsidP="008D7595">
            <w:pPr>
              <w:autoSpaceDE w:val="0"/>
              <w:autoSpaceDN w:val="0"/>
              <w:adjustRightInd w:val="0"/>
              <w:spacing w:after="160"/>
              <w:rPr>
                <w:rFonts w:cs="Calibri"/>
                <w:kern w:val="2"/>
                <w:sz w:val="24"/>
                <w:szCs w:val="24"/>
                <w:lang w:eastAsia="es-MX"/>
              </w:rPr>
            </w:pP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En 1825 era una hacienda subordinada al municipio de Jilotlán de los Dolores, con el nombre de Río de Oro, según lo registró Victoriano Roa en su “Estadística del Estado Libre de Jalisco”.</w:t>
            </w:r>
          </w:p>
          <w:p w:rsidR="008D7595" w:rsidRDefault="008D7595" w:rsidP="008D7595">
            <w:pPr>
              <w:autoSpaceDE w:val="0"/>
              <w:autoSpaceDN w:val="0"/>
              <w:adjustRightInd w:val="0"/>
              <w:spacing w:after="160"/>
              <w:rPr>
                <w:rFonts w:cs="Calibri"/>
                <w:kern w:val="2"/>
                <w:sz w:val="24"/>
                <w:szCs w:val="24"/>
                <w:lang w:eastAsia="es-MX"/>
              </w:rPr>
            </w:pP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Por decreto número 373, publicado el 1° de octubre de 1889, el pueblo de Santa María de Guadalupe (hoy Santa María del Oro) se erigió en comisaría política del municipio de Jilotlán de los Dolores.</w:t>
            </w:r>
          </w:p>
          <w:p w:rsidR="008D7595" w:rsidRDefault="008D7595" w:rsidP="008D7595">
            <w:pPr>
              <w:autoSpaceDE w:val="0"/>
              <w:autoSpaceDN w:val="0"/>
              <w:adjustRightInd w:val="0"/>
              <w:spacing w:after="160"/>
              <w:rPr>
                <w:rFonts w:cs="Calibri"/>
                <w:kern w:val="2"/>
                <w:sz w:val="24"/>
                <w:szCs w:val="24"/>
                <w:lang w:eastAsia="es-MX"/>
              </w:rPr>
            </w:pP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El 28 de diciembre de 1938 se aprobó el decreto número 4465 (publicado hasta el día 5 de enero de 1939), mediante el cual se dispuso que la comisaría de Santa María de Guadalupe se erigiera en municipalidad con el nombre de Manuel M. Diéguez, en memoria del revolucionario y Gobernador del Estado, cuyo nombre completo era Manuel Macario Diéguez.</w:t>
            </w:r>
          </w:p>
          <w:p w:rsidR="008D7595" w:rsidRDefault="008D7595" w:rsidP="008D7595">
            <w:pPr>
              <w:autoSpaceDE w:val="0"/>
              <w:autoSpaceDN w:val="0"/>
              <w:adjustRightInd w:val="0"/>
              <w:spacing w:after="160"/>
              <w:rPr>
                <w:rFonts w:cs="Calibri"/>
                <w:kern w:val="2"/>
                <w:sz w:val="24"/>
                <w:szCs w:val="24"/>
                <w:lang w:eastAsia="es-MX"/>
              </w:rPr>
            </w:pP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Por decreto número 16475 del Congreso del Estado se autoriza el cambio de nombre de la cabecera del municipio de Manuel M. Diéguez, por el de Santa María del Oro. Esta disposición se autorizó el día 20 de diciembre de 1996 y se publicó el día 4 de febrero de 1997, entrando en vigor al día siguiente.</w:t>
            </w:r>
          </w:p>
          <w:p w:rsidR="008D7595" w:rsidRDefault="008D7595" w:rsidP="008D7595">
            <w:pPr>
              <w:autoSpaceDE w:val="0"/>
              <w:autoSpaceDN w:val="0"/>
              <w:adjustRightInd w:val="0"/>
              <w:spacing w:after="160"/>
              <w:rPr>
                <w:rFonts w:cs="Calibri"/>
                <w:kern w:val="2"/>
                <w:sz w:val="24"/>
                <w:szCs w:val="24"/>
                <w:lang w:eastAsia="es-MX"/>
              </w:rPr>
            </w:pP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Por decreto número 17,837 del Congreso del Estado, publicado el 10 de abril de 1999, se dispuso el cambio de nombre del municipio de Manuel M. Diéguez por el de Santa María del Oro, Jalisco.</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Estas Notas tienen como objetivo la revelación del contexto y de los aspectos económico-financieros más relevantes que influyeron en las decisiones del período, y que deberán ser considerados en la elaboración de los estados financieros para la mayor comprensión de los mismos y sus particularidades.</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De esta manera, se informan y explican las condiciones relacionadas con la información financiera de cada período de gestión; además, de exponer aquellas políticas que podrían afectar la toma de decisiones en períodos posteriores.</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1. Autorización e Historia</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Se informará sobre:</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a) Fecha de creación del ente público.</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b) Principales cambios en su estructura.</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2. Panorama Económico y Financiero</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Se informará sobre las principales condiciones económico-financieras bajo las cuales el ente público estuvo operando; y las cuales influyeron en la toma de decisiones de la administración; tanto a nivel local como federal.</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3. Organización y Objeto Social</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Se informará sobre:</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a) Objeto social.</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b) Principal actividad.</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c) Ejercicio fiscal.</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d) Régimen jurídico.</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e) Consideraciones fiscales del ente: revelar el tipo de contribuciones que esté obligado a pagar o retener.</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f) Estructura organizacional básica.</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g) Fideicomisos de los cuales es fideicomitente o fideicomisario, y contratos análogos, incluyendo mandatos de los cuales es parte.</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4. Bases de Preparación de los Estados Financieros</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Se informará sobre:</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a) Si se ha observado la normatividad emitida por el CONAC y las disposiciones legales aplicables.</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c) Postulados básicos de Contabilidad Gubernamental (PBCG).</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d) Normatividad supletoria. 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e) Para las entidades que por primera vez estén implementando la base de devengado de acuerdo a la Ley de Contabilidad, deberán:</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 Revelar las nuevas políticas de reconocimiento;</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 Su plan de implementación;</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 Revelar los cambios en las políticas, la clasificación y medición de las mismas, así como su impacto en la información financiera, y</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 Presentar los últimos estados financieros con la normatividad anteriormente utilizada con las nuevas políticas para fines de comparación en la transición a la base de devengado.</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5. Políticas de Contabilidad Significativas</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Son los principios, bases, reglas y procedimientos específicos adoptados por el ente público en la elaboración y presentación de sus estados financieros.</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El ente público seleccionará y aplicará sus políticas contables de manera congruente para transacciones, otros eventos y condiciones que sean similares.</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Se informará sobre:</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a) Actualización: se informará del método utilizado para la actualización del valor de los activos, pasivos y Hacienda Pública/Patrimonio y las razones de dicha elección. Así como informar de la desconexión o reconexión inflacionaria.</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b) Informar sobre la realización de operaciones en el extranjero y de sus efectos en la información financiera gubernamental, considerando entre otros el importe de las variaciones cambiarias reconocidas en el resultado (ahorro o desahorro).</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c) Método de valuación de la inversión en acciones de Compañías subsidiarias no consolidadas y asociadas.</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d) Sistema y método de valuación de inventarios y costo de lo vendido.</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e) Beneficios a empleados: revelar el cálculo de la reserva actuarial, valor presente de los ingresos esperados comparado con el valor presente de la estimación de gastos tanto de los beneficiarios actuales como futuros.</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f) Provisiones: objetivo de su creación, monto y plazo.</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g) Reservas: objetivo de su creación, monto y plazo.</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h) Cambios en políticas contables y corrección de errores junto con la revelación de los efectos que se tendrá en la información financiera del ente público, ya sea retrospectivos o prospectivos.</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i) Reclasificaciones: se deben revelar todos aquellos movimientos entre cuentas por efectos de cambios en los tipos de operaciones.</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j) Depuración y cancelación de saldos.</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6. Posición en Moneda Extranjera y Protección por Riesgo Cambiario</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Se informará sobre:</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a) Activos en moneda extranjera.</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b) Pasivos en moneda extranjera.</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c) Posición en moneda extranjera.</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d) Tipo de cambio.</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e) Equivalente en moneda nacional.</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Lo anterior, por cada tipo de moneda extranjera que se encuentre en los rubros de activo y pasivo.</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Adicionalmente, se informará sobre los métodos de protección de riesgo por variaciones en el tipo de cambio.</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7. Reporte Analítico del Activo</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Debe mostrar la siguiente información:</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a) Vida útil, porcentajes de depreciación y amortización utilizados en los diferentes tipos de activos, o el importe de las pérdidas por deterioro reconocidas.</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b) Cambios en el porcentaje de depreciación y amortización y en el valor de los activos ocasionado por deterioro.</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c) Importe de los gastos capitalizados en el ejercicio, tanto financieros como de investigación y desarrollo.</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d) Riesgos por tipo de cambio o tipo de interés de las inversiones financieras.</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e) Valor en el ejercicio de los bienes construidos por la entidad.</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f) Otras circunstancias de carácter significativo que afecten el activo, tales como bienes en garantía, señalados en embargos, litigios, títulos de inversiones entregados en garantías, baja significativa del valor de inversiones financieras, etc.</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g) Desmantelamiento de activos, procedimientos, implicaciones, efectos contables.</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h) Administración de activos; planeación con el objetivo de que el ente los utilice de manera más efectiva.</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Adicionalmente, se deben incluir las explicaciones de las principales variaciones en el activo, en cuadros comparativos como sigue:</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a) Inversiones en valores.</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b) Patrimonio de Organismos Descentralizados de Control Presupuestario Indirecto.</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c) Inversiones en empresas de participación mayoritaria.</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d) Inversiones en empresas de participación minoritaria.</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e) Patrimonio de Organismos Descentralizados de Control Presupuestario Directo, según corresponda.</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8. Fideicomisos, Mandatos y Análogos</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Se deberá informar:</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a) Por ramo administrativo que los reporta.</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b) Enlistar los de mayor monto de disponibilidad, relacionando aquéllos que conforman el 80% de las disponibilidades.</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9. Reporte de la Recaudación</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a) Análisis del comportamiento de la recaudación correspondiente al ente público o cualquier tipo de ingreso, de forma separada los ingresos locales de los federales.</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b) Proyección de la recaudación e ingresos en el mediano plazo.</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10. Información sobre la Deuda y el Reporte Analítico de la Deuda</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a) Utilizar al menos los siguientes indicadores: deuda respecto al PIB y deuda respecto a la recaudación tomando, como mínimo, un período igual o menor a 5 años.</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b) Información de manera agrupada por tipo de valor gubernamental o instrumento financiero en la que se consideren intereses, comisiones, tasa, perfil de vencimiento y otros gastos de la deuda.</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11. Calificaciones otorgadas</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Informar, tanto del ente público como cualquier transacción realizada, que haya sido sujeta a una calificación crediticia.</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12. Proceso de Mejora</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Se informará de:</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a) Principales Políticas de control interno.</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b) Medidas de desempeño financiero, metas y alcance.</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13. Información por Segmentos</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Consecuentemente, esta información contribuye al análisis más preciso de la situación financiera, grados y fuentes de riesgo y crecimiento potencial de negocio.</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14. Eventos Posteriores al Cierre</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El ente público informará el efecto en sus estados financieros de aquellos hechos ocurridos en el período posterior al que informa, que proporcionan mayor evidencia sobre eventos que le afectan económicamente y que no se conocían a la fecha de cierre.</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15. Partes Relacionadas</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Se debe establecer por escrito que no existen partes relacionadas que pudieran ejercer influencia significativa sobre la toma de decisiones financieras y operativas.</w:t>
            </w:r>
          </w:p>
          <w:p w:rsidR="008D7595" w:rsidRDefault="008D7595" w:rsidP="008D7595">
            <w:pPr>
              <w:autoSpaceDE w:val="0"/>
              <w:autoSpaceDN w:val="0"/>
              <w:adjustRightInd w:val="0"/>
              <w:spacing w:after="160"/>
              <w:rPr>
                <w:rFonts w:cs="Calibri"/>
                <w:kern w:val="2"/>
                <w:sz w:val="24"/>
                <w:szCs w:val="24"/>
                <w:lang w:eastAsia="es-MX"/>
              </w:rPr>
            </w:pPr>
            <w:r>
              <w:rPr>
                <w:rFonts w:cs="Calibri"/>
                <w:kern w:val="2"/>
                <w:sz w:val="24"/>
                <w:szCs w:val="24"/>
                <w:lang w:eastAsia="es-MX"/>
              </w:rPr>
              <w:t>16. Responsabilidad Sobre la Presentación Razonable de la Información Contable</w:t>
            </w:r>
          </w:p>
          <w:p w:rsidR="008D7595" w:rsidRDefault="008D7595" w:rsidP="008D7595">
            <w:pPr>
              <w:autoSpaceDE w:val="0"/>
              <w:autoSpaceDN w:val="0"/>
              <w:adjustRightInd w:val="0"/>
              <w:spacing w:after="0" w:line="240" w:lineRule="auto"/>
              <w:rPr>
                <w:rFonts w:ascii="Arial" w:hAnsi="Arial" w:cs="Arial"/>
                <w:sz w:val="23"/>
                <w:szCs w:val="23"/>
                <w:lang w:eastAsia="es-MX"/>
              </w:rPr>
            </w:pPr>
            <w:r>
              <w:rPr>
                <w:rFonts w:cs="Calibri"/>
                <w:kern w:val="2"/>
                <w:sz w:val="24"/>
                <w:szCs w:val="24"/>
                <w:lang w:eastAsia="es-MX"/>
              </w:rPr>
              <w:t>La Información Contable deberá estar firmada en cada página de la misma e incluir al final la siguiente leyenda: “Bajo protesta de decir verdad declaramos que los Estados Financieros y sus notas, son razonablemente correctos y son responsabilidad del emisor</w:t>
            </w:r>
          </w:p>
          <w:p w:rsidR="00A45E83" w:rsidRPr="007326BD" w:rsidRDefault="00A45E83" w:rsidP="00A45E83">
            <w:pPr>
              <w:spacing w:after="0" w:line="240" w:lineRule="auto"/>
              <w:jc w:val="both"/>
              <w:rPr>
                <w:rFonts w:ascii="Arial" w:hAnsi="Arial" w:cs="Arial"/>
                <w:sz w:val="24"/>
                <w:szCs w:val="24"/>
              </w:rPr>
            </w:pPr>
          </w:p>
        </w:tc>
      </w:tr>
    </w:tbl>
    <w:p w:rsidR="00A45E83" w:rsidRDefault="00A45E83">
      <w:pPr>
        <w:rPr>
          <w:rFonts w:ascii="Arial" w:hAnsi="Arial" w:cs="Arial"/>
        </w:rPr>
      </w:pPr>
    </w:p>
    <w:p w:rsidR="008E706B" w:rsidRDefault="008E706B">
      <w:pPr>
        <w:rPr>
          <w:rFonts w:ascii="Arial" w:hAnsi="Arial" w:cs="Arial"/>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94"/>
        <w:gridCol w:w="1276"/>
        <w:gridCol w:w="3908"/>
      </w:tblGrid>
      <w:tr w:rsidR="0009560A" w:rsidRPr="001F0913" w:rsidTr="00983255">
        <w:trPr>
          <w:jc w:val="center"/>
        </w:trPr>
        <w:tc>
          <w:tcPr>
            <w:tcW w:w="3794" w:type="dxa"/>
            <w:shd w:val="clear" w:color="auto" w:fill="auto"/>
            <w:vAlign w:val="center"/>
          </w:tcPr>
          <w:p w:rsidR="0009560A" w:rsidRPr="001F0913" w:rsidRDefault="00A45336" w:rsidP="0009560A">
            <w:pPr>
              <w:rPr>
                <w:rFonts w:ascii="Arial" w:hAnsi="Arial" w:cs="Arial"/>
                <w:sz w:val="20"/>
              </w:rPr>
            </w:pPr>
            <w:r w:rsidRPr="001F0913">
              <w:rPr>
                <w:rFonts w:ascii="Arial" w:hAnsi="Arial" w:cs="Arial"/>
                <w:noProof/>
                <w:lang w:eastAsia="es-MX"/>
              </w:rPr>
              <mc:AlternateContent>
                <mc:Choice Requires="wps">
                  <w:drawing>
                    <wp:anchor distT="0" distB="0" distL="114300" distR="114300" simplePos="0" relativeHeight="251657216" behindDoc="0" locked="0" layoutInCell="1" allowOverlap="1">
                      <wp:simplePos x="0" y="0"/>
                      <wp:positionH relativeFrom="column">
                        <wp:posOffset>-22860</wp:posOffset>
                      </wp:positionH>
                      <wp:positionV relativeFrom="paragraph">
                        <wp:posOffset>259715</wp:posOffset>
                      </wp:positionV>
                      <wp:extent cx="2295525" cy="0"/>
                      <wp:effectExtent l="5080" t="5080" r="13970" b="1397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6AE36C2" id="_x0000_t32" coordsize="21600,21600" o:spt="32" o:oned="t" path="m,l21600,21600e" filled="f">
                      <v:path arrowok="t" fillok="f" o:connecttype="none"/>
                      <o:lock v:ext="edit" shapetype="t"/>
                    </v:shapetype>
                    <v:shape id="AutoShape 4" o:spid="_x0000_s1026" type="#_x0000_t32" style="position:absolute;margin-left:-1.8pt;margin-top:20.45pt;width:180.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"/>
                  </w:pict>
                </mc:Fallback>
              </mc:AlternateContent>
            </w:r>
          </w:p>
        </w:tc>
        <w:tc>
          <w:tcPr>
            <w:tcW w:w="1276" w:type="dxa"/>
            <w:shd w:val="clear" w:color="auto" w:fill="auto"/>
            <w:vAlign w:val="center"/>
          </w:tcPr>
          <w:p w:rsidR="0009560A" w:rsidRPr="001F0913" w:rsidRDefault="0009560A" w:rsidP="0009560A">
            <w:pPr>
              <w:rPr>
                <w:rFonts w:ascii="Arial" w:hAnsi="Arial" w:cs="Arial"/>
                <w:sz w:val="20"/>
              </w:rPr>
            </w:pPr>
          </w:p>
        </w:tc>
        <w:tc>
          <w:tcPr>
            <w:tcW w:w="3908" w:type="dxa"/>
            <w:shd w:val="clear" w:color="auto" w:fill="auto"/>
            <w:vAlign w:val="center"/>
          </w:tcPr>
          <w:p w:rsidR="0009560A" w:rsidRPr="001F0913" w:rsidRDefault="00A45336" w:rsidP="0009560A">
            <w:pPr>
              <w:rPr>
                <w:rFonts w:ascii="Arial" w:hAnsi="Arial" w:cs="Arial"/>
                <w:sz w:val="20"/>
              </w:rPr>
            </w:pPr>
            <w:r w:rsidRPr="001F0913">
              <w:rPr>
                <w:rFonts w:ascii="Arial" w:hAnsi="Arial" w:cs="Arial"/>
                <w:noProof/>
                <w:lang w:eastAsia="es-MX"/>
              </w:rPr>
              <mc:AlternateContent>
                <mc:Choice Requires="wps">
                  <w:drawing>
                    <wp:anchor distT="0" distB="0" distL="114300" distR="114300" simplePos="0" relativeHeight="251658240" behindDoc="0" locked="0" layoutInCell="1" allowOverlap="1">
                      <wp:simplePos x="0" y="0"/>
                      <wp:positionH relativeFrom="column">
                        <wp:posOffset>15240</wp:posOffset>
                      </wp:positionH>
                      <wp:positionV relativeFrom="paragraph">
                        <wp:posOffset>259715</wp:posOffset>
                      </wp:positionV>
                      <wp:extent cx="2295525" cy="0"/>
                      <wp:effectExtent l="5080" t="5080" r="13970"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7B2527D" id="AutoShape 5" o:spid="_x0000_s1026" type="#_x0000_t32" style="position:absolute;margin-left:1.2pt;margin-top:20.45pt;width:180.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"/>
                  </w:pict>
                </mc:Fallback>
              </mc:AlternateContent>
            </w:r>
          </w:p>
        </w:tc>
      </w:tr>
      <w:tr w:rsidR="0009560A" w:rsidRPr="001F0913" w:rsidTr="00983255">
        <w:trPr>
          <w:jc w:val="center"/>
        </w:trPr>
        <w:tc>
          <w:tcPr>
            <w:tcW w:w="3794" w:type="dxa"/>
            <w:shd w:val="clear" w:color="auto" w:fill="auto"/>
            <w:vAlign w:val="center"/>
          </w:tcPr>
          <w:p w:rsidR="0009560A" w:rsidRPr="00AA3238" w:rsidRDefault="008D7595" w:rsidP="00983255">
            <w:pPr>
              <w:jc w:val="center"/>
              <w:rPr>
                <w:rFonts w:ascii="Arial" w:hAnsi="Arial" w:cs="Arial"/>
                <w:b/>
                <w:sz w:val="20"/>
              </w:rPr>
            </w:pPr>
            <w:bookmarkStart w:id="4" w:name="firma1"/>
            <w:bookmarkEnd w:id="4"/>
            <w:r>
              <w:rPr>
                <w:rFonts w:ascii="Arial" w:hAnsi="Arial" w:cs="Arial"/>
                <w:b/>
                <w:sz w:val="20"/>
              </w:rPr>
              <w:t>ARICELA LOPEZ LOPEZ</w:t>
            </w:r>
          </w:p>
          <w:p w:rsidR="0009560A" w:rsidRPr="00AA3238" w:rsidRDefault="008D7595" w:rsidP="00983255">
            <w:pPr>
              <w:jc w:val="center"/>
              <w:rPr>
                <w:rFonts w:ascii="Arial" w:hAnsi="Arial" w:cs="Arial"/>
                <w:b/>
                <w:sz w:val="20"/>
              </w:rPr>
            </w:pPr>
            <w:bookmarkStart w:id="5" w:name="Cargo1"/>
            <w:bookmarkEnd w:id="5"/>
            <w:r>
              <w:rPr>
                <w:rFonts w:ascii="Arial" w:hAnsi="Arial" w:cs="Arial"/>
                <w:b/>
                <w:sz w:val="20"/>
              </w:rPr>
              <w:t>PRESIDENTA MUNICIPAL</w:t>
            </w:r>
          </w:p>
        </w:tc>
        <w:tc>
          <w:tcPr>
            <w:tcW w:w="1276" w:type="dxa"/>
            <w:shd w:val="clear" w:color="auto" w:fill="auto"/>
            <w:vAlign w:val="center"/>
          </w:tcPr>
          <w:p w:rsidR="0009560A" w:rsidRPr="001F0913" w:rsidRDefault="0009560A" w:rsidP="0009560A">
            <w:pPr>
              <w:rPr>
                <w:rFonts w:ascii="Arial" w:hAnsi="Arial" w:cs="Arial"/>
                <w:sz w:val="20"/>
              </w:rPr>
            </w:pPr>
          </w:p>
        </w:tc>
        <w:tc>
          <w:tcPr>
            <w:tcW w:w="3908" w:type="dxa"/>
            <w:shd w:val="clear" w:color="auto" w:fill="auto"/>
            <w:vAlign w:val="center"/>
          </w:tcPr>
          <w:p w:rsidR="0009560A" w:rsidRPr="00AA3238" w:rsidRDefault="008D7595" w:rsidP="00983255">
            <w:pPr>
              <w:jc w:val="center"/>
              <w:rPr>
                <w:rFonts w:ascii="Arial" w:hAnsi="Arial" w:cs="Arial"/>
                <w:b/>
                <w:sz w:val="20"/>
              </w:rPr>
            </w:pPr>
            <w:bookmarkStart w:id="6" w:name="firma2"/>
            <w:bookmarkEnd w:id="6"/>
            <w:r>
              <w:rPr>
                <w:rFonts w:ascii="Arial" w:hAnsi="Arial" w:cs="Arial"/>
                <w:b/>
                <w:sz w:val="20"/>
              </w:rPr>
              <w:t>YOVANA PEREZ SANCHEZ</w:t>
            </w:r>
          </w:p>
          <w:p w:rsidR="0009560A" w:rsidRPr="00AA3238" w:rsidRDefault="008D7595" w:rsidP="00983255">
            <w:pPr>
              <w:jc w:val="center"/>
              <w:rPr>
                <w:rFonts w:ascii="Arial" w:hAnsi="Arial" w:cs="Arial"/>
                <w:b/>
                <w:sz w:val="20"/>
              </w:rPr>
            </w:pPr>
            <w:bookmarkStart w:id="7" w:name="Cargo2"/>
            <w:bookmarkEnd w:id="7"/>
            <w:r>
              <w:rPr>
                <w:rFonts w:ascii="Arial" w:hAnsi="Arial" w:cs="Arial"/>
                <w:b/>
                <w:sz w:val="20"/>
              </w:rPr>
              <w:t>ENCARGADA DE LA HACIENDA</w:t>
            </w:r>
          </w:p>
        </w:tc>
      </w:tr>
    </w:tbl>
    <w:p w:rsidR="0009560A" w:rsidRPr="00721735" w:rsidRDefault="008D7595" w:rsidP="00DC7A0D">
      <w:pPr>
        <w:jc w:val="center"/>
        <w:rPr>
          <w:rFonts w:ascii="C39HrP24DhTt" w:hAnsi="C39HrP24DhTt" w:cs="Arial"/>
          <w:sz w:val="44"/>
          <w:szCs w:val="44"/>
        </w:rPr>
      </w:pPr>
      <w:bookmarkStart w:id="8" w:name="codigo"/>
      <w:bookmarkEnd w:id="8"/>
      <w:r>
        <w:rPr>
          <w:rFonts w:ascii="C39HrP24DhTt" w:hAnsi="C39HrP24DhTt" w:cs="Arial"/>
          <w:sz w:val="44"/>
          <w:szCs w:val="44"/>
        </w:rPr>
        <w:t>ASEJ2024-17-20-08-2025-1</w:t>
      </w:r>
    </w:p>
    <w:p w:rsidR="008E706B" w:rsidRDefault="008E706B">
      <w:pPr>
        <w:rPr>
          <w:rFonts w:ascii="Arial" w:hAnsi="Arial" w:cs="Arial"/>
        </w:rPr>
      </w:pPr>
    </w:p>
    <w:p w:rsidR="008E706B" w:rsidRPr="00B157EC" w:rsidRDefault="008E706B" w:rsidP="008E706B">
      <w:pPr>
        <w:rPr>
          <w:rFonts w:ascii="Arial" w:hAnsi="Arial" w:cs="Arial"/>
          <w:sz w:val="24"/>
          <w:szCs w:val="24"/>
        </w:rPr>
      </w:pPr>
      <w:r w:rsidRPr="00B157EC">
        <w:rPr>
          <w:rFonts w:ascii="Arial" w:hAnsi="Arial" w:cs="Arial"/>
          <w:sz w:val="24"/>
          <w:szCs w:val="24"/>
        </w:rPr>
        <w:t>Bajo protesta de decir verdad declaramos que los Estados Financieros y sus Notas son razonablemente correctos y responsabilidad del emisor.</w:t>
      </w:r>
    </w:p>
    <w:p w:rsidR="008E706B" w:rsidRPr="007326BD" w:rsidRDefault="008E706B">
      <w:pPr>
        <w:rPr>
          <w:rFonts w:ascii="Arial" w:hAnsi="Arial" w:cs="Arial"/>
        </w:rPr>
      </w:pPr>
    </w:p>
    <w:sectPr w:rsidR="008E706B" w:rsidRPr="007326BD" w:rsidSect="008066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39HrP24DhTt">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E83"/>
    <w:rsid w:val="0009560A"/>
    <w:rsid w:val="00245F49"/>
    <w:rsid w:val="0040191D"/>
    <w:rsid w:val="004D1A2A"/>
    <w:rsid w:val="006628DA"/>
    <w:rsid w:val="007326BD"/>
    <w:rsid w:val="00806603"/>
    <w:rsid w:val="008A5017"/>
    <w:rsid w:val="008D7595"/>
    <w:rsid w:val="008E706B"/>
    <w:rsid w:val="00983255"/>
    <w:rsid w:val="009F5BF2"/>
    <w:rsid w:val="00A45336"/>
    <w:rsid w:val="00A45E83"/>
    <w:rsid w:val="00AA3238"/>
    <w:rsid w:val="00DC7A0D"/>
    <w:rsid w:val="00EF11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603"/>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45E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603"/>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45E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1943</Words>
  <Characters>10689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ASEJ</Company>
  <LinksUpToDate>false</LinksUpToDate>
  <CharactersWithSpaces>12607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ASEJ;Ramiro Ochoa Cisneros</dc:creator>
  <cp:keywords/>
  <cp:lastModifiedBy>Hp</cp:lastModifiedBy>
  <cp:revision>6</cp:revision>
  <dcterms:created xsi:type="dcterms:W3CDTF">2020-05-27T16:04:00Z</dcterms:created>
  <dcterms:modified xsi:type="dcterms:W3CDTF">2025-08-20T18:27:00Z</dcterms:modified>
</cp:coreProperties>
</file>